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3FD9" w14:textId="77777777" w:rsidR="002D31FD" w:rsidRDefault="00545573">
      <w:pPr>
        <w:spacing w:before="120"/>
        <w:ind w:left="-284" w:right="-330"/>
        <w:jc w:val="center"/>
        <w:rPr>
          <w:rFonts w:ascii="Calibri" w:hAnsi="Calibri" w:cs="Arial"/>
          <w:b/>
          <w:color w:val="000000"/>
          <w:sz w:val="28"/>
          <w:szCs w:val="28"/>
        </w:rPr>
      </w:pPr>
      <w:r>
        <w:rPr>
          <w:rFonts w:ascii="Calibri" w:hAnsi="Calibri" w:cs="Arial"/>
          <w:b/>
          <w:color w:val="000000"/>
          <w:sz w:val="28"/>
          <w:szCs w:val="28"/>
        </w:rPr>
        <w:t xml:space="preserve">Level1/2 Vocational Award in Hospitality &amp; Catering </w:t>
      </w:r>
    </w:p>
    <w:p w14:paraId="101E4678" w14:textId="77777777" w:rsidR="002D31FD" w:rsidRDefault="00545573">
      <w:pPr>
        <w:spacing w:before="120"/>
        <w:ind w:left="-284" w:right="-330"/>
        <w:jc w:val="center"/>
      </w:pPr>
      <w:bookmarkStart w:id="0" w:name="_Hlk530045334"/>
      <w:r>
        <w:rPr>
          <w:rFonts w:ascii="Calibri" w:hAnsi="Calibri" w:cs="Arial"/>
          <w:b/>
          <w:color w:val="000000"/>
          <w:sz w:val="22"/>
          <w:szCs w:val="22"/>
        </w:rPr>
        <w:t xml:space="preserve">Head of Faculty: </w:t>
      </w:r>
      <w:r>
        <w:rPr>
          <w:rFonts w:ascii="Calibri" w:hAnsi="Calibri" w:cs="Arial"/>
          <w:color w:val="000000"/>
          <w:sz w:val="22"/>
          <w:szCs w:val="22"/>
        </w:rPr>
        <w:t xml:space="preserve">Mr A </w:t>
      </w:r>
      <w:proofErr w:type="spellStart"/>
      <w:r>
        <w:rPr>
          <w:rFonts w:ascii="Calibri" w:hAnsi="Calibri" w:cs="Arial"/>
          <w:color w:val="000000"/>
          <w:sz w:val="22"/>
          <w:szCs w:val="22"/>
        </w:rPr>
        <w:t>Ashter</w:t>
      </w:r>
      <w:proofErr w:type="spellEnd"/>
    </w:p>
    <w:p w14:paraId="74822CE0" w14:textId="77777777" w:rsidR="002D31FD" w:rsidRDefault="00545573">
      <w:pPr>
        <w:ind w:left="-426" w:right="-472"/>
        <w:jc w:val="center"/>
      </w:pPr>
      <w:r>
        <w:rPr>
          <w:rFonts w:ascii="Calibri" w:hAnsi="Calibri" w:cs="Arial"/>
          <w:b/>
          <w:color w:val="000000"/>
          <w:sz w:val="22"/>
          <w:szCs w:val="22"/>
        </w:rPr>
        <w:t xml:space="preserve">Email: </w:t>
      </w:r>
      <w:r>
        <w:rPr>
          <w:rFonts w:ascii="Calibri" w:hAnsi="Calibri" w:cs="Arial"/>
          <w:color w:val="000000"/>
          <w:sz w:val="22"/>
          <w:szCs w:val="22"/>
        </w:rPr>
        <w:t>a.ashter@barnwell.herts.sch.uk</w:t>
      </w:r>
    </w:p>
    <w:bookmarkEnd w:id="0"/>
    <w:p w14:paraId="410091EC" w14:textId="77777777" w:rsidR="002D31FD" w:rsidRDefault="002D31FD">
      <w:pPr>
        <w:ind w:left="-567" w:right="-330"/>
        <w:jc w:val="both"/>
        <w:rPr>
          <w:rFonts w:ascii="Calibri" w:hAnsi="Calibri" w:cs="Arial"/>
          <w:b/>
          <w:color w:val="000000"/>
          <w:sz w:val="16"/>
        </w:rPr>
      </w:pPr>
    </w:p>
    <w:p w14:paraId="4DEAF103" w14:textId="77777777" w:rsidR="002D31FD" w:rsidRDefault="00545573">
      <w:pPr>
        <w:ind w:left="-567" w:right="-330"/>
      </w:pPr>
      <w:r>
        <w:rPr>
          <w:rFonts w:ascii="Calibri" w:hAnsi="Calibri" w:cs="Arial"/>
          <w:b/>
          <w:color w:val="000000"/>
          <w:sz w:val="20"/>
          <w:szCs w:val="20"/>
        </w:rPr>
        <w:t>Why study Hospitality &amp; Catering?</w:t>
      </w:r>
    </w:p>
    <w:p w14:paraId="492CD79B" w14:textId="77777777" w:rsidR="002D31FD" w:rsidRDefault="00545573">
      <w:pPr>
        <w:ind w:left="-567" w:right="-330"/>
        <w:jc w:val="both"/>
        <w:rPr>
          <w:rFonts w:ascii="Calibri" w:hAnsi="Calibri" w:cs="Arial"/>
          <w:color w:val="000000"/>
          <w:sz w:val="20"/>
          <w:szCs w:val="20"/>
        </w:rPr>
      </w:pPr>
      <w:r>
        <w:rPr>
          <w:rFonts w:ascii="Calibri" w:hAnsi="Calibri" w:cs="Arial"/>
          <w:color w:val="000000"/>
          <w:sz w:val="20"/>
          <w:szCs w:val="20"/>
        </w:rPr>
        <w:t xml:space="preserve">In the centre of our local communities, the dynamic, lively, and inventive </w:t>
      </w:r>
      <w:r>
        <w:rPr>
          <w:rFonts w:ascii="Calibri" w:hAnsi="Calibri" w:cs="Arial"/>
          <w:color w:val="000000"/>
          <w:sz w:val="20"/>
          <w:szCs w:val="20"/>
        </w:rPr>
        <w:t xml:space="preserve">hospitality and catering industry provides essential jobs, growth, and investment that are significant from a cultural, social, and economic standpoint. </w:t>
      </w:r>
    </w:p>
    <w:p w14:paraId="58583524" w14:textId="77777777" w:rsidR="002D31FD" w:rsidRDefault="002D31FD">
      <w:pPr>
        <w:ind w:right="-330"/>
        <w:jc w:val="both"/>
        <w:rPr>
          <w:rFonts w:ascii="Calibri" w:hAnsi="Calibri" w:cs="Arial"/>
          <w:color w:val="000000"/>
          <w:sz w:val="20"/>
          <w:szCs w:val="20"/>
        </w:rPr>
      </w:pPr>
    </w:p>
    <w:p w14:paraId="4AFB8C21" w14:textId="77777777" w:rsidR="002D31FD" w:rsidRDefault="00545573">
      <w:pPr>
        <w:keepNext/>
        <w:ind w:left="-567" w:right="-330"/>
        <w:jc w:val="both"/>
        <w:outlineLvl w:val="0"/>
        <w:rPr>
          <w:rFonts w:ascii="Calibri" w:hAnsi="Calibri" w:cs="Arial"/>
          <w:b/>
          <w:color w:val="000000"/>
          <w:sz w:val="20"/>
          <w:szCs w:val="20"/>
        </w:rPr>
      </w:pPr>
      <w:r>
        <w:rPr>
          <w:rFonts w:ascii="Calibri" w:hAnsi="Calibri" w:cs="Arial"/>
          <w:b/>
          <w:color w:val="000000"/>
          <w:sz w:val="20"/>
          <w:szCs w:val="20"/>
        </w:rPr>
        <w:t>What does the course involve?</w:t>
      </w:r>
    </w:p>
    <w:p w14:paraId="2F3BB6F7" w14:textId="77777777" w:rsidR="002D31FD" w:rsidRDefault="00545573">
      <w:pPr>
        <w:ind w:left="-567" w:right="-330"/>
        <w:jc w:val="both"/>
        <w:rPr>
          <w:rFonts w:ascii="Calibri" w:hAnsi="Calibri" w:cs="Arial"/>
          <w:color w:val="000000"/>
          <w:sz w:val="20"/>
          <w:szCs w:val="20"/>
        </w:rPr>
      </w:pPr>
      <w:r>
        <w:rPr>
          <w:rFonts w:ascii="Calibri" w:hAnsi="Calibri" w:cs="Arial"/>
          <w:color w:val="000000"/>
          <w:sz w:val="20"/>
          <w:szCs w:val="20"/>
        </w:rPr>
        <w:t xml:space="preserve">Building from KS3, the aim of the course is to allows students to </w:t>
      </w:r>
      <w:r>
        <w:rPr>
          <w:rFonts w:ascii="Calibri" w:hAnsi="Calibri" w:cs="Arial"/>
          <w:color w:val="000000"/>
          <w:sz w:val="20"/>
          <w:szCs w:val="20"/>
        </w:rPr>
        <w:t>acquire and cultivate thorough knowledge and comprehension of the hospitality and catering sector, encompassing food safety, health and safety, and provision. The course will also provide opportunities for students to gain and apply information about the value of nutrition and how to create nutritious menus. They will acquire skills required to cook, prepare, and present food. Additionally, they will learn how to effectively evaluate their work.</w:t>
      </w:r>
    </w:p>
    <w:p w14:paraId="20E6E791" w14:textId="77777777" w:rsidR="002D31FD" w:rsidRDefault="002D31FD">
      <w:pPr>
        <w:ind w:left="-567" w:right="-330"/>
        <w:jc w:val="both"/>
        <w:rPr>
          <w:rFonts w:ascii="Calibri" w:hAnsi="Calibri" w:cs="Arial"/>
          <w:color w:val="000000"/>
          <w:sz w:val="20"/>
          <w:szCs w:val="20"/>
        </w:rPr>
      </w:pPr>
    </w:p>
    <w:p w14:paraId="554E643D" w14:textId="77777777" w:rsidR="002D31FD" w:rsidRDefault="00545573">
      <w:pPr>
        <w:keepNext/>
        <w:ind w:left="-567" w:right="-330"/>
        <w:jc w:val="both"/>
        <w:outlineLvl w:val="0"/>
        <w:rPr>
          <w:rFonts w:ascii="Calibri" w:hAnsi="Calibri" w:cs="Arial"/>
          <w:b/>
          <w:color w:val="000000"/>
          <w:sz w:val="20"/>
          <w:szCs w:val="20"/>
        </w:rPr>
      </w:pPr>
      <w:r>
        <w:rPr>
          <w:rFonts w:ascii="Calibri" w:hAnsi="Calibri" w:cs="Arial"/>
          <w:b/>
          <w:color w:val="000000"/>
          <w:sz w:val="20"/>
          <w:szCs w:val="20"/>
        </w:rPr>
        <w:t>How will I be assessed?</w:t>
      </w:r>
    </w:p>
    <w:p w14:paraId="3B686BB3" w14:textId="77777777" w:rsidR="002D31FD" w:rsidRDefault="00545573">
      <w:pPr>
        <w:ind w:left="-567" w:right="-330"/>
        <w:jc w:val="both"/>
        <w:rPr>
          <w:rFonts w:ascii="Calibri" w:hAnsi="Calibri" w:cs="Arial"/>
          <w:color w:val="000000"/>
          <w:sz w:val="20"/>
          <w:szCs w:val="20"/>
        </w:rPr>
      </w:pPr>
      <w:r>
        <w:rPr>
          <w:rFonts w:ascii="Calibri" w:hAnsi="Calibri" w:cs="Arial"/>
          <w:color w:val="000000"/>
          <w:sz w:val="20"/>
          <w:szCs w:val="20"/>
        </w:rPr>
        <w:t xml:space="preserve">The course is split into two </w:t>
      </w:r>
      <w:r>
        <w:rPr>
          <w:rFonts w:ascii="Calibri" w:hAnsi="Calibri" w:cs="Arial"/>
          <w:color w:val="000000"/>
          <w:sz w:val="20"/>
          <w:szCs w:val="20"/>
        </w:rPr>
        <w:t xml:space="preserve">assessed units of work. Unit 1 is a written examination making up 40% of the qualification. The exam is 1 hour 20 minutes consisting of short and extended answers. Unit 2 comprises of a Controlled assessment which is 60% of the qualification. An assignment brief is provided by WJEC </w:t>
      </w:r>
      <w:proofErr w:type="gramStart"/>
      <w:r>
        <w:rPr>
          <w:rFonts w:ascii="Calibri" w:hAnsi="Calibri" w:cs="Arial"/>
          <w:color w:val="000000"/>
          <w:sz w:val="20"/>
          <w:szCs w:val="20"/>
        </w:rPr>
        <w:t>( the</w:t>
      </w:r>
      <w:proofErr w:type="gramEnd"/>
      <w:r>
        <w:rPr>
          <w:rFonts w:ascii="Calibri" w:hAnsi="Calibri" w:cs="Arial"/>
          <w:color w:val="000000"/>
          <w:sz w:val="20"/>
          <w:szCs w:val="20"/>
        </w:rPr>
        <w:t xml:space="preserve"> examination board) which will include a scenario and several tasks.</w:t>
      </w:r>
    </w:p>
    <w:p w14:paraId="2FF88F50" w14:textId="77777777" w:rsidR="002D31FD" w:rsidRDefault="002D31FD">
      <w:pPr>
        <w:ind w:left="-567" w:right="-330"/>
        <w:jc w:val="both"/>
        <w:rPr>
          <w:rFonts w:ascii="Calibri" w:hAnsi="Calibri" w:cs="Arial"/>
          <w:color w:val="000000"/>
          <w:sz w:val="20"/>
          <w:szCs w:val="20"/>
        </w:rPr>
      </w:pPr>
    </w:p>
    <w:p w14:paraId="6D9ECF5E" w14:textId="77777777" w:rsidR="002D31FD" w:rsidRDefault="00545573">
      <w:pPr>
        <w:ind w:left="-567" w:right="-330"/>
        <w:jc w:val="both"/>
        <w:rPr>
          <w:rFonts w:ascii="Calibri" w:hAnsi="Calibri" w:cs="Arial"/>
          <w:color w:val="000000"/>
          <w:sz w:val="20"/>
          <w:szCs w:val="20"/>
        </w:rPr>
      </w:pPr>
      <w:r>
        <w:rPr>
          <w:rFonts w:ascii="Calibri" w:hAnsi="Calibri" w:cs="Arial"/>
          <w:color w:val="000000"/>
          <w:sz w:val="20"/>
          <w:szCs w:val="20"/>
        </w:rPr>
        <w:t>The two units are assessed through the three assessment objects:</w:t>
      </w:r>
    </w:p>
    <w:p w14:paraId="00864B27" w14:textId="77777777" w:rsidR="002D31FD" w:rsidRDefault="002D31FD">
      <w:pPr>
        <w:ind w:left="-567" w:right="-330"/>
        <w:jc w:val="both"/>
        <w:rPr>
          <w:rFonts w:ascii="Calibri" w:hAnsi="Calibri" w:cs="Arial"/>
          <w:color w:val="000000"/>
          <w:sz w:val="20"/>
          <w:szCs w:val="20"/>
        </w:rPr>
      </w:pPr>
    </w:p>
    <w:p w14:paraId="3AFDD057" w14:textId="77777777" w:rsidR="002D31FD" w:rsidRDefault="00545573">
      <w:pPr>
        <w:pStyle w:val="ListParagraph"/>
        <w:numPr>
          <w:ilvl w:val="0"/>
          <w:numId w:val="1"/>
        </w:numPr>
        <w:ind w:right="-330"/>
        <w:jc w:val="both"/>
        <w:rPr>
          <w:rFonts w:ascii="Calibri" w:hAnsi="Calibri" w:cs="Arial"/>
          <w:color w:val="000000"/>
          <w:sz w:val="20"/>
          <w:szCs w:val="20"/>
        </w:rPr>
      </w:pPr>
      <w:r>
        <w:rPr>
          <w:rFonts w:ascii="Calibri" w:hAnsi="Calibri" w:cs="Arial"/>
          <w:color w:val="000000"/>
          <w:sz w:val="20"/>
          <w:szCs w:val="20"/>
        </w:rPr>
        <w:t xml:space="preserve">AO1 Demonstrate knowledge and understanding from across the specification. </w:t>
      </w:r>
    </w:p>
    <w:p w14:paraId="362E63C9" w14:textId="77777777" w:rsidR="002D31FD" w:rsidRDefault="00545573">
      <w:pPr>
        <w:pStyle w:val="ListParagraph"/>
        <w:numPr>
          <w:ilvl w:val="0"/>
          <w:numId w:val="1"/>
        </w:numPr>
        <w:ind w:right="-330"/>
        <w:jc w:val="both"/>
        <w:rPr>
          <w:rFonts w:ascii="Calibri" w:hAnsi="Calibri" w:cs="Arial"/>
          <w:color w:val="000000"/>
          <w:sz w:val="20"/>
          <w:szCs w:val="20"/>
        </w:rPr>
      </w:pPr>
      <w:r>
        <w:rPr>
          <w:rFonts w:ascii="Calibri" w:hAnsi="Calibri" w:cs="Arial"/>
          <w:color w:val="000000"/>
          <w:sz w:val="20"/>
          <w:szCs w:val="20"/>
        </w:rPr>
        <w:t xml:space="preserve">AO2 Apply skills (including practical skills), knowledge and understanding in a variety of contexts and in planning and carrying out investigations and tasks. </w:t>
      </w:r>
    </w:p>
    <w:p w14:paraId="2CB6F495" w14:textId="77777777" w:rsidR="002D31FD" w:rsidRDefault="00545573">
      <w:pPr>
        <w:pStyle w:val="ListParagraph"/>
        <w:numPr>
          <w:ilvl w:val="0"/>
          <w:numId w:val="1"/>
        </w:numPr>
        <w:ind w:right="-330"/>
        <w:jc w:val="both"/>
        <w:rPr>
          <w:rFonts w:ascii="Calibri" w:hAnsi="Calibri" w:cs="Arial"/>
          <w:color w:val="000000"/>
          <w:sz w:val="20"/>
          <w:szCs w:val="20"/>
        </w:rPr>
      </w:pPr>
      <w:r>
        <w:rPr>
          <w:rFonts w:ascii="Calibri" w:hAnsi="Calibri" w:cs="Arial"/>
          <w:color w:val="000000"/>
          <w:sz w:val="20"/>
          <w:szCs w:val="20"/>
        </w:rPr>
        <w:t>AO3 Analyse and evaluate information, making reasoned judgements and presenting conclusions.</w:t>
      </w:r>
    </w:p>
    <w:p w14:paraId="01D1B473" w14:textId="77777777" w:rsidR="002D31FD" w:rsidRDefault="002D31FD">
      <w:pPr>
        <w:pStyle w:val="ListParagraph"/>
        <w:ind w:left="153" w:right="-330"/>
        <w:jc w:val="both"/>
        <w:rPr>
          <w:rFonts w:ascii="Calibri" w:hAnsi="Calibri" w:cs="Arial"/>
          <w:color w:val="000000"/>
          <w:sz w:val="20"/>
          <w:szCs w:val="20"/>
        </w:rPr>
      </w:pPr>
    </w:p>
    <w:p w14:paraId="65045BB8" w14:textId="77777777" w:rsidR="002D31FD" w:rsidRDefault="00545573">
      <w:pPr>
        <w:pStyle w:val="ListParagraph"/>
        <w:ind w:left="153" w:right="-330"/>
        <w:jc w:val="both"/>
        <w:rPr>
          <w:rFonts w:ascii="Calibri" w:hAnsi="Calibri" w:cs="Arial"/>
          <w:color w:val="000000"/>
          <w:sz w:val="20"/>
          <w:szCs w:val="20"/>
        </w:rPr>
      </w:pPr>
      <w:r>
        <w:rPr>
          <w:rFonts w:ascii="Calibri" w:hAnsi="Calibri" w:cs="Arial"/>
          <w:color w:val="000000"/>
          <w:sz w:val="20"/>
          <w:szCs w:val="20"/>
        </w:rPr>
        <w:t xml:space="preserve">The table below shows the weighting of each assessment objective for each unit and for the qualification as a whole: </w:t>
      </w:r>
    </w:p>
    <w:p w14:paraId="733F87AC" w14:textId="77777777" w:rsidR="002D31FD" w:rsidRDefault="002D31FD">
      <w:pPr>
        <w:pStyle w:val="ListParagraph"/>
        <w:ind w:left="153" w:right="-330"/>
        <w:jc w:val="both"/>
        <w:rPr>
          <w:rFonts w:ascii="Calibri" w:hAnsi="Calibri" w:cs="Arial"/>
          <w:color w:val="000000"/>
          <w:sz w:val="20"/>
          <w:szCs w:val="20"/>
        </w:rPr>
      </w:pPr>
    </w:p>
    <w:tbl>
      <w:tblPr>
        <w:tblW w:w="8863" w:type="dxa"/>
        <w:tblInd w:w="153" w:type="dxa"/>
        <w:tblCellMar>
          <w:left w:w="10" w:type="dxa"/>
          <w:right w:w="10" w:type="dxa"/>
        </w:tblCellMar>
        <w:tblLook w:val="04A0" w:firstRow="1" w:lastRow="0" w:firstColumn="1" w:lastColumn="0" w:noHBand="0" w:noVBand="1"/>
      </w:tblPr>
      <w:tblGrid>
        <w:gridCol w:w="1772"/>
        <w:gridCol w:w="1772"/>
        <w:gridCol w:w="1772"/>
        <w:gridCol w:w="1772"/>
        <w:gridCol w:w="1775"/>
      </w:tblGrid>
      <w:tr w:rsidR="002D31FD" w14:paraId="7DAA78D7" w14:textId="77777777">
        <w:tblPrEx>
          <w:tblCellMar>
            <w:top w:w="0" w:type="dxa"/>
            <w:bottom w:w="0" w:type="dxa"/>
          </w:tblCellMar>
        </w:tblPrEx>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4BC8E" w14:textId="77777777" w:rsidR="002D31FD" w:rsidRDefault="002D31FD">
            <w:pPr>
              <w:pStyle w:val="ListParagraph"/>
              <w:ind w:left="0" w:right="-330"/>
              <w:jc w:val="both"/>
              <w:rPr>
                <w:rFonts w:ascii="Calibri" w:hAnsi="Calibri" w:cs="Arial"/>
                <w:color w:val="000000"/>
                <w:sz w:val="20"/>
                <w:szCs w:val="20"/>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28327"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AO1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E5AC4"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AO2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E4BF"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AO3</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06188"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Total</w:t>
            </w:r>
          </w:p>
        </w:tc>
      </w:tr>
      <w:tr w:rsidR="002D31FD" w14:paraId="05CEA660" w14:textId="77777777">
        <w:tblPrEx>
          <w:tblCellMar>
            <w:top w:w="0" w:type="dxa"/>
            <w:bottom w:w="0" w:type="dxa"/>
          </w:tblCellMar>
        </w:tblPrEx>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D987"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Unit 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7C89D"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17%</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80E32"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14%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561DD"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9%</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842FC"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40%</w:t>
            </w:r>
          </w:p>
        </w:tc>
      </w:tr>
      <w:tr w:rsidR="002D31FD" w14:paraId="4AA55FCE" w14:textId="77777777">
        <w:tblPrEx>
          <w:tblCellMar>
            <w:top w:w="0" w:type="dxa"/>
            <w:bottom w:w="0" w:type="dxa"/>
          </w:tblCellMar>
        </w:tblPrEx>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168C5"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Unit 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3ABC"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8%</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3116"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36%</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EFD53"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16%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914F3"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60%</w:t>
            </w:r>
          </w:p>
        </w:tc>
      </w:tr>
      <w:tr w:rsidR="002D31FD" w14:paraId="6A8FE013" w14:textId="77777777">
        <w:tblPrEx>
          <w:tblCellMar>
            <w:top w:w="0" w:type="dxa"/>
            <w:bottom w:w="0" w:type="dxa"/>
          </w:tblCellMar>
        </w:tblPrEx>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93E26"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Overall Weighting</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20941"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25%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9C719"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50%</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7E4AC"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25%</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C651E" w14:textId="77777777" w:rsidR="002D31FD" w:rsidRDefault="00545573">
            <w:pPr>
              <w:pStyle w:val="ListParagraph"/>
              <w:ind w:left="0" w:right="-330"/>
              <w:jc w:val="both"/>
              <w:rPr>
                <w:rFonts w:ascii="Calibri" w:hAnsi="Calibri" w:cs="Arial"/>
                <w:color w:val="000000"/>
                <w:sz w:val="20"/>
                <w:szCs w:val="20"/>
              </w:rPr>
            </w:pPr>
            <w:r>
              <w:rPr>
                <w:rFonts w:ascii="Calibri" w:hAnsi="Calibri" w:cs="Arial"/>
                <w:color w:val="000000"/>
                <w:sz w:val="20"/>
                <w:szCs w:val="20"/>
              </w:rPr>
              <w:t>100%</w:t>
            </w:r>
          </w:p>
        </w:tc>
      </w:tr>
    </w:tbl>
    <w:p w14:paraId="2C94313D" w14:textId="77777777" w:rsidR="002D31FD" w:rsidRDefault="002D31FD">
      <w:pPr>
        <w:pStyle w:val="ListParagraph"/>
        <w:ind w:left="153" w:right="-330"/>
        <w:jc w:val="both"/>
        <w:rPr>
          <w:rFonts w:ascii="Calibri" w:hAnsi="Calibri" w:cs="Arial"/>
          <w:color w:val="000000"/>
          <w:sz w:val="20"/>
          <w:szCs w:val="20"/>
        </w:rPr>
      </w:pPr>
    </w:p>
    <w:p w14:paraId="4C31C00F" w14:textId="77777777" w:rsidR="002D31FD" w:rsidRDefault="002D31FD">
      <w:pPr>
        <w:ind w:left="-567" w:right="-330"/>
        <w:jc w:val="both"/>
        <w:rPr>
          <w:rFonts w:ascii="Calibri" w:hAnsi="Calibri" w:cs="Arial"/>
          <w:color w:val="000000"/>
          <w:sz w:val="20"/>
          <w:szCs w:val="20"/>
        </w:rPr>
      </w:pPr>
    </w:p>
    <w:p w14:paraId="2BA1E38E" w14:textId="77777777" w:rsidR="002D31FD" w:rsidRDefault="002D31FD">
      <w:pPr>
        <w:ind w:left="207" w:right="-330" w:hanging="633"/>
        <w:jc w:val="both"/>
        <w:rPr>
          <w:rFonts w:ascii="Calibri" w:hAnsi="Calibri" w:cs="Arial"/>
          <w:color w:val="000000"/>
          <w:sz w:val="20"/>
          <w:szCs w:val="20"/>
        </w:rPr>
      </w:pPr>
    </w:p>
    <w:p w14:paraId="7CA38BD5" w14:textId="77777777" w:rsidR="002D31FD" w:rsidRDefault="00545573">
      <w:pPr>
        <w:ind w:left="-567" w:right="-330"/>
        <w:jc w:val="both"/>
      </w:pPr>
      <w:r>
        <w:rPr>
          <w:rFonts w:ascii="Calibri" w:hAnsi="Calibri" w:cs="Arial"/>
          <w:b/>
          <w:sz w:val="20"/>
          <w:szCs w:val="20"/>
        </w:rPr>
        <w:t>What are my progression routes?</w:t>
      </w:r>
    </w:p>
    <w:p w14:paraId="293874FF" w14:textId="77777777" w:rsidR="002D31FD" w:rsidRDefault="00545573">
      <w:pPr>
        <w:ind w:left="-567" w:right="-330"/>
        <w:jc w:val="both"/>
        <w:rPr>
          <w:rFonts w:ascii="Calibri" w:hAnsi="Calibri" w:cs="Arial"/>
          <w:sz w:val="20"/>
          <w:szCs w:val="20"/>
        </w:rPr>
      </w:pPr>
      <w:r>
        <w:rPr>
          <w:rFonts w:ascii="Calibri" w:hAnsi="Calibri" w:cs="Arial"/>
          <w:sz w:val="20"/>
          <w:szCs w:val="20"/>
        </w:rPr>
        <w:t xml:space="preserve">This </w:t>
      </w:r>
      <w:r>
        <w:rPr>
          <w:rFonts w:ascii="Calibri" w:hAnsi="Calibri" w:cs="Arial"/>
          <w:sz w:val="20"/>
          <w:szCs w:val="20"/>
        </w:rPr>
        <w:t>course can progress to various routes within the Hospitality and Catering industry. As an example, there are various level 3 courses such as:</w:t>
      </w:r>
    </w:p>
    <w:p w14:paraId="75ED35F9" w14:textId="77777777" w:rsidR="002D31FD" w:rsidRDefault="002D31FD">
      <w:pPr>
        <w:ind w:left="-567" w:right="-330"/>
        <w:jc w:val="both"/>
        <w:rPr>
          <w:rFonts w:ascii="Calibri" w:hAnsi="Calibri" w:cs="Arial"/>
          <w:sz w:val="20"/>
          <w:szCs w:val="20"/>
        </w:rPr>
      </w:pPr>
    </w:p>
    <w:p w14:paraId="283C7B68" w14:textId="77777777" w:rsidR="002D31FD" w:rsidRDefault="00545573">
      <w:pPr>
        <w:pStyle w:val="ListParagraph"/>
        <w:numPr>
          <w:ilvl w:val="0"/>
          <w:numId w:val="2"/>
        </w:numPr>
        <w:ind w:right="-330"/>
        <w:jc w:val="both"/>
        <w:rPr>
          <w:rFonts w:ascii="Calibri" w:hAnsi="Calibri" w:cs="Arial"/>
          <w:sz w:val="20"/>
          <w:szCs w:val="20"/>
        </w:rPr>
      </w:pPr>
      <w:r>
        <w:rPr>
          <w:rFonts w:ascii="Calibri" w:hAnsi="Calibri" w:cs="Arial"/>
          <w:sz w:val="20"/>
          <w:szCs w:val="20"/>
        </w:rPr>
        <w:t>Level 3 City &amp; Guilds - Hospitality &amp; Catering</w:t>
      </w:r>
    </w:p>
    <w:p w14:paraId="335718A1" w14:textId="77777777" w:rsidR="002D31FD" w:rsidRDefault="00545573">
      <w:pPr>
        <w:pStyle w:val="ListParagraph"/>
        <w:numPr>
          <w:ilvl w:val="0"/>
          <w:numId w:val="2"/>
        </w:numPr>
        <w:ind w:right="-330"/>
        <w:jc w:val="both"/>
        <w:rPr>
          <w:rFonts w:ascii="Calibri" w:hAnsi="Calibri" w:cs="Arial"/>
          <w:sz w:val="20"/>
          <w:szCs w:val="20"/>
        </w:rPr>
      </w:pPr>
      <w:r>
        <w:rPr>
          <w:rFonts w:ascii="Calibri" w:hAnsi="Calibri" w:cs="Arial"/>
          <w:sz w:val="20"/>
          <w:szCs w:val="20"/>
        </w:rPr>
        <w:t>Level 3 Apprenticeship in Hospitality &amp; Catering</w:t>
      </w:r>
    </w:p>
    <w:p w14:paraId="2F5895C8" w14:textId="77777777" w:rsidR="002D31FD" w:rsidRDefault="00545573">
      <w:pPr>
        <w:pStyle w:val="ListParagraph"/>
        <w:numPr>
          <w:ilvl w:val="0"/>
          <w:numId w:val="2"/>
        </w:numPr>
        <w:ind w:right="-330"/>
        <w:jc w:val="both"/>
        <w:rPr>
          <w:rFonts w:ascii="Calibri" w:hAnsi="Calibri" w:cs="Arial"/>
          <w:sz w:val="20"/>
          <w:szCs w:val="20"/>
        </w:rPr>
      </w:pPr>
      <w:r>
        <w:rPr>
          <w:rFonts w:ascii="Calibri" w:hAnsi="Calibri" w:cs="Arial"/>
          <w:sz w:val="20"/>
          <w:szCs w:val="20"/>
        </w:rPr>
        <w:t xml:space="preserve">A Degree in </w:t>
      </w:r>
      <w:r>
        <w:rPr>
          <w:rFonts w:ascii="Calibri" w:hAnsi="Calibri" w:cs="Arial"/>
          <w:sz w:val="20"/>
          <w:szCs w:val="20"/>
        </w:rPr>
        <w:t>Hospitality &amp; Catering</w:t>
      </w:r>
    </w:p>
    <w:p w14:paraId="7476E375" w14:textId="77777777" w:rsidR="002D31FD" w:rsidRDefault="00545573">
      <w:pPr>
        <w:ind w:right="-330"/>
        <w:jc w:val="both"/>
        <w:rPr>
          <w:rFonts w:ascii="Calibri" w:hAnsi="Calibri" w:cs="Arial"/>
          <w:sz w:val="20"/>
          <w:szCs w:val="20"/>
        </w:rPr>
      </w:pPr>
      <w:r>
        <w:rPr>
          <w:rFonts w:ascii="Calibri" w:hAnsi="Calibri" w:cs="Arial"/>
          <w:sz w:val="20"/>
          <w:szCs w:val="20"/>
        </w:rPr>
        <w:t xml:space="preserve"> </w:t>
      </w:r>
    </w:p>
    <w:p w14:paraId="1000FC7D" w14:textId="77777777" w:rsidR="002D31FD" w:rsidRDefault="002D31FD">
      <w:pPr>
        <w:ind w:left="-567" w:right="-330"/>
        <w:jc w:val="both"/>
        <w:rPr>
          <w:rFonts w:ascii="Calibri" w:hAnsi="Calibri" w:cs="Arial"/>
          <w:sz w:val="20"/>
          <w:szCs w:val="20"/>
        </w:rPr>
      </w:pPr>
    </w:p>
    <w:p w14:paraId="10E2F9FD" w14:textId="77777777" w:rsidR="002D31FD" w:rsidRDefault="002D31FD">
      <w:pPr>
        <w:ind w:left="-567" w:right="-330"/>
        <w:jc w:val="both"/>
      </w:pPr>
    </w:p>
    <w:sectPr w:rsidR="002D31FD">
      <w:headerReference w:type="default" r:id="rId7"/>
      <w:footerReference w:type="default" r:id="rId8"/>
      <w:pgSz w:w="11906" w:h="16838"/>
      <w:pgMar w:top="2410" w:right="1440" w:bottom="1134" w:left="1440" w:header="708"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846C4" w14:textId="77777777" w:rsidR="00545573" w:rsidRDefault="00545573">
      <w:r>
        <w:separator/>
      </w:r>
    </w:p>
  </w:endnote>
  <w:endnote w:type="continuationSeparator" w:id="0">
    <w:p w14:paraId="6DE30AD0" w14:textId="77777777" w:rsidR="00545573" w:rsidRDefault="0054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0ADD" w14:textId="77777777" w:rsidR="00545573" w:rsidRDefault="00545573">
    <w:pPr>
      <w:pStyle w:val="Footer"/>
      <w:jc w:val="center"/>
    </w:pPr>
    <w:r>
      <w:t>Barnwell Middle &amp; Upper School 2024</w:t>
    </w:r>
  </w:p>
  <w:p w14:paraId="5C179EFE" w14:textId="77777777" w:rsidR="00545573" w:rsidRDefault="005455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5296B" w14:textId="77777777" w:rsidR="00545573" w:rsidRDefault="00545573">
      <w:r>
        <w:rPr>
          <w:color w:val="000000"/>
        </w:rPr>
        <w:separator/>
      </w:r>
    </w:p>
  </w:footnote>
  <w:footnote w:type="continuationSeparator" w:id="0">
    <w:p w14:paraId="02ED3E78" w14:textId="77777777" w:rsidR="00545573" w:rsidRDefault="00545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5A30" w14:textId="77777777" w:rsidR="00545573" w:rsidRDefault="00545573">
    <w:pPr>
      <w:pStyle w:val="Header"/>
    </w:pPr>
    <w:r>
      <w:rPr>
        <w:noProof/>
        <w:lang w:eastAsia="en-GB"/>
      </w:rPr>
      <mc:AlternateContent>
        <mc:Choice Requires="wps">
          <w:drawing>
            <wp:anchor distT="0" distB="0" distL="114300" distR="114300" simplePos="0" relativeHeight="251659264" behindDoc="0" locked="0" layoutInCell="1" allowOverlap="1" wp14:anchorId="71CC9B67" wp14:editId="5172B1CF">
              <wp:simplePos x="0" y="0"/>
              <wp:positionH relativeFrom="margin">
                <wp:posOffset>-659218</wp:posOffset>
              </wp:positionH>
              <wp:positionV relativeFrom="paragraph">
                <wp:posOffset>358490</wp:posOffset>
              </wp:positionV>
              <wp:extent cx="6920865" cy="9190991"/>
              <wp:effectExtent l="19050" t="19050" r="13335" b="10159"/>
              <wp:wrapNone/>
              <wp:docPr id="908361472" name="Rectangle 2"/>
              <wp:cNvGraphicFramePr/>
              <a:graphic xmlns:a="http://schemas.openxmlformats.org/drawingml/2006/main">
                <a:graphicData uri="http://schemas.microsoft.com/office/word/2010/wordprocessingShape">
                  <wps:wsp>
                    <wps:cNvSpPr/>
                    <wps:spPr>
                      <a:xfrm>
                        <a:off x="0" y="0"/>
                        <a:ext cx="6920865" cy="9190991"/>
                      </a:xfrm>
                      <a:prstGeom prst="rect">
                        <a:avLst/>
                      </a:prstGeom>
                      <a:noFill/>
                      <a:ln w="38103" cap="flat">
                        <a:solidFill>
                          <a:srgbClr val="41719C"/>
                        </a:solidFill>
                        <a:prstDash val="solid"/>
                        <a:miter/>
                      </a:ln>
                    </wps:spPr>
                    <wps:bodyPr lIns="0" tIns="0" rIns="0" bIns="0"/>
                  </wps:wsp>
                </a:graphicData>
              </a:graphic>
            </wp:anchor>
          </w:drawing>
        </mc:Choice>
        <mc:Fallback>
          <w:pict>
            <v:rect w14:anchorId="3B2FC4C0" id="Rectangle 2" o:spid="_x0000_s1026" style="position:absolute;margin-left:-51.9pt;margin-top:28.25pt;width:544.95pt;height:723.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" filled="f" strokecolor="#41719c" strokeweight="1.0584mm">
              <v:textbox inset="0,0,0,0"/>
              <w10:wrap anchorx="margin"/>
            </v:rect>
          </w:pict>
        </mc:Fallback>
      </mc:AlternateContent>
    </w:r>
    <w:r>
      <w:rPr>
        <w:noProof/>
        <w:lang w:eastAsia="en-GB"/>
      </w:rPr>
      <w:drawing>
        <wp:anchor distT="0" distB="0" distL="114300" distR="114300" simplePos="0" relativeHeight="251660288" behindDoc="0" locked="0" layoutInCell="1" allowOverlap="1" wp14:anchorId="381C218D" wp14:editId="2A3FDF69">
          <wp:simplePos x="0" y="0"/>
          <wp:positionH relativeFrom="margin">
            <wp:posOffset>2295528</wp:posOffset>
          </wp:positionH>
          <wp:positionV relativeFrom="paragraph">
            <wp:posOffset>-259076</wp:posOffset>
          </wp:positionV>
          <wp:extent cx="1138418" cy="1277471"/>
          <wp:effectExtent l="0" t="0" r="4582" b="0"/>
          <wp:wrapNone/>
          <wp:docPr id="885103014"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38418" cy="1277471"/>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01858"/>
    <w:multiLevelType w:val="multilevel"/>
    <w:tmpl w:val="187CA6B8"/>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 w15:restartNumberingAfterBreak="0">
    <w:nsid w:val="6D6340CA"/>
    <w:multiLevelType w:val="multilevel"/>
    <w:tmpl w:val="974A627E"/>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num w:numId="1" w16cid:durableId="2030371411">
    <w:abstractNumId w:val="1"/>
  </w:num>
  <w:num w:numId="2" w16cid:durableId="74765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D31FD"/>
    <w:rsid w:val="002D31FD"/>
    <w:rsid w:val="00545573"/>
    <w:rsid w:val="005C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0B68"/>
  <w15:docId w15:val="{61715490-3D19-4F1F-B888-204D83C4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rPr>
      <w:rFonts w:ascii="Calibri" w:eastAsia="Calibri" w:hAnsi="Calibri" w:cs="Arial"/>
      <w:sz w:val="22"/>
      <w:szCs w:val="22"/>
      <w:lang w:eastAsia="en-US"/>
    </w:rPr>
  </w:style>
  <w:style w:type="character" w:customStyle="1" w:styleId="HeaderChar">
    <w:name w:val="Header Char"/>
    <w:basedOn w:val="DefaultParagraphFont"/>
  </w:style>
  <w:style w:type="paragraph" w:styleId="Footer">
    <w:name w:val="footer"/>
    <w:basedOn w:val="Normal"/>
    <w:pPr>
      <w:tabs>
        <w:tab w:val="center" w:pos="4513"/>
        <w:tab w:val="right" w:pos="9026"/>
      </w:tabs>
    </w:pPr>
    <w:rPr>
      <w:rFonts w:ascii="Calibri" w:eastAsia="Calibri" w:hAnsi="Calibri" w:cs="Arial"/>
      <w:sz w:val="22"/>
      <w:szCs w:val="22"/>
      <w:lang w:eastAsia="en-US"/>
    </w:rPr>
  </w:style>
  <w:style w:type="character" w:customStyle="1" w:styleId="FooterChar">
    <w:name w:val="Footer Char"/>
    <w:basedOn w:val="DefaultParagraphFont"/>
  </w:style>
  <w:style w:type="character" w:customStyle="1" w:styleId="Heading1Char">
    <w:name w:val="Heading 1 Char"/>
    <w:basedOn w:val="DefaultParagraphFont"/>
    <w:rPr>
      <w:rFonts w:ascii="Comic Sans MS" w:eastAsia="Times New Roman" w:hAnsi="Comic Sans MS" w:cs="Times New Roman"/>
      <w:b/>
      <w:sz w:val="28"/>
      <w:szCs w:val="20"/>
    </w:rPr>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paragraph" w:styleId="BodyText2">
    <w:name w:val="Body Text 2"/>
    <w:basedOn w:val="Normal"/>
    <w:pPr>
      <w:jc w:val="both"/>
    </w:pPr>
    <w:rPr>
      <w:rFonts w:ascii="Comic Sans MS" w:hAnsi="Comic Sans MS"/>
      <w:sz w:val="22"/>
      <w:szCs w:val="20"/>
      <w:lang w:eastAsia="en-US"/>
    </w:rPr>
  </w:style>
  <w:style w:type="character" w:customStyle="1" w:styleId="BodyText2Char">
    <w:name w:val="Body Text 2 Char"/>
    <w:basedOn w:val="DefaultParagraphFont"/>
    <w:rPr>
      <w:rFonts w:ascii="Comic Sans MS" w:eastAsia="Times New Roman" w:hAnsi="Comic Sans MS" w:cs="Times New Roman"/>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eastAsia="en-GB"/>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dc:description/>
  <cp:lastModifiedBy>David Smith</cp:lastModifiedBy>
  <cp:revision>2</cp:revision>
  <cp:lastPrinted>2018-11-28T11:06:00Z</cp:lastPrinted>
  <dcterms:created xsi:type="dcterms:W3CDTF">2025-01-28T17:06:00Z</dcterms:created>
  <dcterms:modified xsi:type="dcterms:W3CDTF">2025-01-28T17:06:00Z</dcterms:modified>
</cp:coreProperties>
</file>